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505</w:t>
      </w:r>
    </w:p>
    <w:p>
      <w:r>
        <w:t>Bundesgericht (BGE), 1984-12-03, DE</w:t>
      </w:r>
    </w:p>
    <w:p>
      <w:r>
        <w:rPr>
          <w:b/>
        </w:rPr>
        <w:t xml:space="preserve">Quelle: </w:t>
      </w:r>
      <w:r>
        <w:t>https://mcp.opencaselaw.ch/entscheid/bge_110 II 505</w:t>
      </w:r>
    </w:p>
    <w:p>
      <w:r>
        <w:t>FR: ATF 110 II 505</w:t>
      </w:r>
    </w:p>
    <w:p>
      <w:r>
        <w:t>IT: DTF 110 II 505</w:t>
      </w:r>
    </w:p>
    <w:p>
      <w:pPr>
        <w:pStyle w:val="Heading2"/>
      </w:pPr>
      <w:r>
        <w:t>Regeste</w:t>
      </w:r>
    </w:p>
    <w:p>
      <w:r>
        <w:t>Regeste Berufung gegen einen Zwischenentscheid (Art. 50 Abs. 1 OG). Schadenersatzklage; Zwischenentscheid über die grundsätzliche Haftung und ein allfälliges Selbstverschulden des Klägers. Unzulässigkeit der Berufung, soweit der Berufungsantrag die weiteren quantitativen Abklärungen voraussetzt (E. 1b) oder nur zu einem Teilurteil führen würde (E. 1c).</w:t>
      </w:r>
    </w:p>
    <w:p>
      <w:pPr>
        <w:pStyle w:val="Heading2"/>
      </w:pPr>
      <w:r>
        <w:t>Erwägungen</w:t>
      </w:r>
    </w:p>
    <w:p>
      <w:r>
        <w:rPr>
          <w:b/>
        </w:rPr>
        <w:t>E. 1</w:t>
      </w:r>
    </w:p>
    <w:p>
      <w:r>
        <w:t>Der vorliegende Zwischenentscheid kann nur soweit mit Berufung angefochten werden, als dadurch sofort ein Endentscheid herbeigeführt und ein so bedeutender Aufwand an Zeit oder Kosten für ein weitläufiges Beweisverfahren erspart werden kann, dass die gesonderte Anrufung des Bundesgerichts gerechtfertigt erscheint ( Art. 50 Abs. 1 OG ). a) Falls die Berufung der Beklagten gegen die Bejahung ihrer Haftung (Dispositiv 1) begründet ist, wird die Klage abzuweisen und ein Beweisverfahren über die finanziellen Unfallfolgen unnötig sein. Diesbezüglich sind die genannten Voraussetzungen daher ohne weiteres gegeben. b) Gleich verhält es sich mit der Berufung der Beklagten gegen die Verneinung eines den Kausalzusammenhang unterbrechenden Selbstverschuldens des Klägers 1 (Dispositiv 2). Dringt sie damit durch, führt das ebenfalls zur Abweisung der Klage. Demgegenüber wollen die Kläger mit ihrer Anschlussberufung feststellen lassen, dass den Kläger 1 kein haftungsreduzierendes Selbstverschulden trifft. Ein Erfolg dieses Berufungsantrags würde aber nicht zu einem Endentscheid führen, sondern die weiteren quantitativen Abklärungen voraussetzen. Auf die Anschlussberufung ist daher nicht einzutreten ( BGE 101 II 175 ). Den Klägern ist demnach unbenommen, mit einer Berufung gegen den Endentscheid des Appellationshofes die Herabsetzung wegen Selbstverschuldens zu bestreiten; eine solche wird zudem - wie die Kläger anerkennen - im angefochtenen Urteil erst unverbindlich in Aussicht gestellt. c) Schliesslich wendet sich die Beklagte mit ihrer Berufung auch gegen die Bejahung der Aktivlegitimation der Kläger 2 und 3 (Dispositiv 3). Diesem Antrag kommt nur Bedeutung zu, wenn die übrigen Berufungsbegehren der Beklagten nicht durchdringen. Ist dagegen mit der Vorinstanz grundsätzlich die Ersatzpflicht der BGE 110 II 505 S. 507 Beklagten zu bejahen, so könnte eine Verneinung der Aktivlegitimation der Kläger 2 und 3 nur zu einem Teilurteil ihnen gegenüber führen. Teilurteile, die sich nur auf eines von mehreren Klagebegehren oder auf einen von mehreren Streitgenossen beziehen, unterliegen aber in der Regel nicht der Berufung; das muss erst recht gelten, wo es sich nur um einen Zwischenentscheid handelt ( BGE 107 II 352 E. 2 mit Hinweisen). Dass prozessökonomische Gründe vorliegend im Sinn dieser Rechtsprechung eine Ausnahme rechtfertigen könnten, macht die Beklagte zu Recht nicht geltend und ist auch nicht ersichtlich, zumal der Appellationshof die Aktivlegitimation der beiden Kläger ausdrücklich nur "zur Zeit" bejaht und nähere Prüfung in Verbindung mit den geltend gemachten Schadenspositionen vorbehält. Insoweit ist daher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